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D9265" w14:textId="77777777" w:rsidR="00A255DC" w:rsidRDefault="00A255DC" w:rsidP="00A255DC">
      <w:pPr>
        <w:spacing w:after="0" w:line="480" w:lineRule="auto"/>
        <w:contextualSpacing/>
        <w:rPr>
          <w:rFonts w:ascii="Times New Roman" w:hAnsi="Times New Roman" w:cs="Times New Roman"/>
          <w:sz w:val="24"/>
          <w:szCs w:val="24"/>
        </w:rPr>
      </w:pPr>
    </w:p>
    <w:p w14:paraId="6A443CCF" w14:textId="77777777" w:rsidR="00A255DC" w:rsidRDefault="00A255DC" w:rsidP="00A255DC">
      <w:pPr>
        <w:spacing w:after="0" w:line="480" w:lineRule="auto"/>
        <w:contextualSpacing/>
        <w:rPr>
          <w:rFonts w:ascii="Times New Roman" w:hAnsi="Times New Roman" w:cs="Times New Roman"/>
          <w:sz w:val="24"/>
          <w:szCs w:val="24"/>
        </w:rPr>
      </w:pPr>
    </w:p>
    <w:p w14:paraId="1383F2F3" w14:textId="158D9A8A" w:rsidR="00A255DC" w:rsidRDefault="00A255DC" w:rsidP="00A255DC">
      <w:pPr>
        <w:spacing w:after="0" w:line="480" w:lineRule="auto"/>
        <w:contextualSpacing/>
        <w:rPr>
          <w:rFonts w:ascii="Times New Roman" w:hAnsi="Times New Roman" w:cs="Times New Roman"/>
          <w:sz w:val="24"/>
          <w:szCs w:val="24"/>
        </w:rPr>
      </w:pPr>
    </w:p>
    <w:p w14:paraId="746E5721" w14:textId="48117344" w:rsidR="00ED2121" w:rsidRDefault="00ED2121" w:rsidP="00A255DC">
      <w:pPr>
        <w:spacing w:after="0" w:line="480" w:lineRule="auto"/>
        <w:contextualSpacing/>
        <w:rPr>
          <w:rFonts w:ascii="Times New Roman" w:hAnsi="Times New Roman" w:cs="Times New Roman"/>
          <w:sz w:val="24"/>
          <w:szCs w:val="24"/>
        </w:rPr>
      </w:pPr>
    </w:p>
    <w:p w14:paraId="607FCF4B" w14:textId="72A85A90" w:rsidR="00ED2121" w:rsidRDefault="00ED2121" w:rsidP="00ED212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RFP Analysis</w:t>
      </w:r>
    </w:p>
    <w:p w14:paraId="3FA73009" w14:textId="1A974005" w:rsidR="00ED2121" w:rsidRDefault="00ED2121" w:rsidP="00ED212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377FCFC4" w14:textId="6EA69B91" w:rsidR="0058705E" w:rsidRDefault="0058705E" w:rsidP="00ED212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Dionte’ Bell</w:t>
      </w:r>
    </w:p>
    <w:p w14:paraId="24143502" w14:textId="693D248A" w:rsidR="0058705E" w:rsidRDefault="0058705E" w:rsidP="0058705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DeVry University</w:t>
      </w:r>
      <w:bookmarkStart w:id="0" w:name="_GoBack"/>
      <w:bookmarkEnd w:id="0"/>
    </w:p>
    <w:p w14:paraId="140A80D4" w14:textId="77777777" w:rsidR="00A255DC" w:rsidRDefault="00A255DC" w:rsidP="00A255DC">
      <w:pPr>
        <w:spacing w:after="0" w:line="480" w:lineRule="auto"/>
        <w:contextualSpacing/>
        <w:rPr>
          <w:rFonts w:ascii="Times New Roman" w:hAnsi="Times New Roman" w:cs="Times New Roman"/>
          <w:sz w:val="24"/>
          <w:szCs w:val="24"/>
        </w:rPr>
      </w:pPr>
    </w:p>
    <w:p w14:paraId="0FA7F907" w14:textId="77777777" w:rsidR="00A255DC" w:rsidRDefault="00A255DC" w:rsidP="00A255DC">
      <w:pPr>
        <w:spacing w:after="0" w:line="480" w:lineRule="auto"/>
        <w:contextualSpacing/>
        <w:rPr>
          <w:rFonts w:ascii="Times New Roman" w:hAnsi="Times New Roman" w:cs="Times New Roman"/>
          <w:sz w:val="24"/>
          <w:szCs w:val="24"/>
        </w:rPr>
      </w:pPr>
    </w:p>
    <w:p w14:paraId="0FD080A5" w14:textId="77777777" w:rsidR="00A255DC" w:rsidRDefault="00A255DC" w:rsidP="00A255DC">
      <w:pPr>
        <w:spacing w:after="0" w:line="480" w:lineRule="auto"/>
        <w:contextualSpacing/>
        <w:rPr>
          <w:rFonts w:ascii="Times New Roman" w:hAnsi="Times New Roman" w:cs="Times New Roman"/>
          <w:sz w:val="24"/>
          <w:szCs w:val="24"/>
        </w:rPr>
      </w:pPr>
    </w:p>
    <w:p w14:paraId="600968AE" w14:textId="77777777" w:rsidR="00A255DC" w:rsidRDefault="00A255DC" w:rsidP="00A255DC">
      <w:pPr>
        <w:spacing w:after="0" w:line="480" w:lineRule="auto"/>
        <w:contextualSpacing/>
        <w:rPr>
          <w:rFonts w:ascii="Times New Roman" w:hAnsi="Times New Roman" w:cs="Times New Roman"/>
          <w:sz w:val="24"/>
          <w:szCs w:val="24"/>
        </w:rPr>
      </w:pPr>
    </w:p>
    <w:p w14:paraId="3057C7B9" w14:textId="77777777" w:rsidR="00A255DC" w:rsidRDefault="00A255DC" w:rsidP="00A255DC">
      <w:pPr>
        <w:spacing w:after="0" w:line="480" w:lineRule="auto"/>
        <w:contextualSpacing/>
        <w:rPr>
          <w:rFonts w:ascii="Times New Roman" w:hAnsi="Times New Roman" w:cs="Times New Roman"/>
          <w:sz w:val="24"/>
          <w:szCs w:val="24"/>
        </w:rPr>
      </w:pPr>
    </w:p>
    <w:p w14:paraId="3A014934" w14:textId="77777777" w:rsidR="00A255DC" w:rsidRDefault="00A255DC" w:rsidP="00A255DC">
      <w:pPr>
        <w:spacing w:after="0" w:line="480" w:lineRule="auto"/>
        <w:contextualSpacing/>
        <w:rPr>
          <w:rFonts w:ascii="Times New Roman" w:hAnsi="Times New Roman" w:cs="Times New Roman"/>
          <w:sz w:val="24"/>
          <w:szCs w:val="24"/>
        </w:rPr>
      </w:pPr>
    </w:p>
    <w:p w14:paraId="788B69B9" w14:textId="77777777" w:rsidR="00A255DC" w:rsidRDefault="00A255DC" w:rsidP="00A255DC">
      <w:pPr>
        <w:spacing w:after="0" w:line="480" w:lineRule="auto"/>
        <w:contextualSpacing/>
        <w:rPr>
          <w:rFonts w:ascii="Times New Roman" w:hAnsi="Times New Roman" w:cs="Times New Roman"/>
          <w:sz w:val="24"/>
          <w:szCs w:val="24"/>
        </w:rPr>
      </w:pPr>
    </w:p>
    <w:p w14:paraId="6958E1EE" w14:textId="77777777" w:rsidR="00A255DC" w:rsidRDefault="00A255DC" w:rsidP="00A255DC">
      <w:pPr>
        <w:spacing w:after="0" w:line="480" w:lineRule="auto"/>
        <w:contextualSpacing/>
        <w:rPr>
          <w:rFonts w:ascii="Times New Roman" w:hAnsi="Times New Roman" w:cs="Times New Roman"/>
          <w:sz w:val="24"/>
          <w:szCs w:val="24"/>
        </w:rPr>
      </w:pPr>
    </w:p>
    <w:p w14:paraId="65947D5B" w14:textId="77777777" w:rsidR="00A255DC" w:rsidRDefault="00A255DC" w:rsidP="00A255DC">
      <w:pPr>
        <w:spacing w:after="0" w:line="480" w:lineRule="auto"/>
        <w:contextualSpacing/>
        <w:rPr>
          <w:rFonts w:ascii="Times New Roman" w:hAnsi="Times New Roman" w:cs="Times New Roman"/>
          <w:sz w:val="24"/>
          <w:szCs w:val="24"/>
        </w:rPr>
      </w:pPr>
    </w:p>
    <w:p w14:paraId="08EFC4E4" w14:textId="77777777" w:rsidR="00A255DC" w:rsidRDefault="00A255DC" w:rsidP="00A255DC">
      <w:pPr>
        <w:spacing w:after="0" w:line="480" w:lineRule="auto"/>
        <w:contextualSpacing/>
        <w:rPr>
          <w:rFonts w:ascii="Times New Roman" w:hAnsi="Times New Roman" w:cs="Times New Roman"/>
          <w:sz w:val="24"/>
          <w:szCs w:val="24"/>
        </w:rPr>
      </w:pPr>
    </w:p>
    <w:p w14:paraId="358C1A8D" w14:textId="77777777" w:rsidR="00A255DC" w:rsidRDefault="00A255DC" w:rsidP="00A255DC">
      <w:pPr>
        <w:spacing w:after="0" w:line="480" w:lineRule="auto"/>
        <w:contextualSpacing/>
        <w:rPr>
          <w:rFonts w:ascii="Times New Roman" w:hAnsi="Times New Roman" w:cs="Times New Roman"/>
          <w:sz w:val="24"/>
          <w:szCs w:val="24"/>
        </w:rPr>
      </w:pPr>
    </w:p>
    <w:p w14:paraId="5EEAB25E" w14:textId="77777777" w:rsidR="00A255DC" w:rsidRDefault="00A255DC" w:rsidP="00A255DC">
      <w:pPr>
        <w:spacing w:after="0" w:line="480" w:lineRule="auto"/>
        <w:contextualSpacing/>
        <w:rPr>
          <w:rFonts w:ascii="Times New Roman" w:hAnsi="Times New Roman" w:cs="Times New Roman"/>
          <w:sz w:val="24"/>
          <w:szCs w:val="24"/>
        </w:rPr>
      </w:pPr>
    </w:p>
    <w:p w14:paraId="0DE8C7CB" w14:textId="77777777" w:rsidR="00A255DC" w:rsidRDefault="00A255DC" w:rsidP="00A255DC">
      <w:pPr>
        <w:spacing w:after="0" w:line="480" w:lineRule="auto"/>
        <w:contextualSpacing/>
        <w:rPr>
          <w:rFonts w:ascii="Times New Roman" w:hAnsi="Times New Roman" w:cs="Times New Roman"/>
          <w:sz w:val="24"/>
          <w:szCs w:val="24"/>
        </w:rPr>
      </w:pPr>
    </w:p>
    <w:p w14:paraId="1E3CF313" w14:textId="77777777" w:rsidR="00A255DC" w:rsidRDefault="00A255DC" w:rsidP="00A255DC">
      <w:pPr>
        <w:spacing w:after="0" w:line="480" w:lineRule="auto"/>
        <w:contextualSpacing/>
        <w:rPr>
          <w:rFonts w:ascii="Times New Roman" w:hAnsi="Times New Roman" w:cs="Times New Roman"/>
          <w:sz w:val="24"/>
          <w:szCs w:val="24"/>
        </w:rPr>
      </w:pPr>
    </w:p>
    <w:p w14:paraId="49CDB645" w14:textId="77777777" w:rsidR="00A255DC" w:rsidRDefault="00A255DC" w:rsidP="00A255DC">
      <w:pPr>
        <w:spacing w:after="0" w:line="480" w:lineRule="auto"/>
        <w:contextualSpacing/>
        <w:rPr>
          <w:rFonts w:ascii="Times New Roman" w:hAnsi="Times New Roman" w:cs="Times New Roman"/>
          <w:sz w:val="24"/>
          <w:szCs w:val="24"/>
        </w:rPr>
      </w:pPr>
    </w:p>
    <w:p w14:paraId="43F578D4" w14:textId="77777777" w:rsidR="00EF36FD" w:rsidRDefault="00EF36FD" w:rsidP="00A255DC">
      <w:pPr>
        <w:spacing w:after="0" w:line="480" w:lineRule="auto"/>
        <w:contextualSpacing/>
        <w:rPr>
          <w:rFonts w:ascii="Times New Roman" w:hAnsi="Times New Roman" w:cs="Times New Roman"/>
          <w:sz w:val="24"/>
          <w:szCs w:val="24"/>
        </w:rPr>
      </w:pPr>
    </w:p>
    <w:p w14:paraId="4F4D9EFF" w14:textId="78CBF7FC" w:rsidR="008001B7" w:rsidRPr="00550FEB" w:rsidRDefault="00F352A6" w:rsidP="00344967">
      <w:pPr>
        <w:spacing w:after="0" w:line="480" w:lineRule="auto"/>
        <w:contextualSpacing/>
        <w:jc w:val="center"/>
        <w:rPr>
          <w:rFonts w:ascii="Times New Roman" w:hAnsi="Times New Roman" w:cs="Times New Roman"/>
          <w:sz w:val="24"/>
          <w:szCs w:val="24"/>
        </w:rPr>
      </w:pPr>
      <w:r w:rsidRPr="00550FEB">
        <w:rPr>
          <w:rFonts w:ascii="Times New Roman" w:hAnsi="Times New Roman" w:cs="Times New Roman"/>
          <w:sz w:val="24"/>
          <w:szCs w:val="24"/>
        </w:rPr>
        <w:t>RFP Analysis</w:t>
      </w:r>
    </w:p>
    <w:p w14:paraId="3E9085C0" w14:textId="464F5E2E" w:rsidR="00665876" w:rsidRPr="00550FEB" w:rsidRDefault="00665876" w:rsidP="00A255DC">
      <w:pPr>
        <w:spacing w:after="0" w:line="480" w:lineRule="auto"/>
        <w:contextualSpacing/>
        <w:rPr>
          <w:rFonts w:ascii="Times New Roman" w:hAnsi="Times New Roman" w:cs="Times New Roman"/>
          <w:b/>
          <w:bCs/>
          <w:sz w:val="24"/>
          <w:szCs w:val="24"/>
        </w:rPr>
      </w:pPr>
      <w:r w:rsidRPr="00550FEB">
        <w:rPr>
          <w:rFonts w:ascii="Times New Roman" w:hAnsi="Times New Roman" w:cs="Times New Roman"/>
          <w:b/>
          <w:bCs/>
          <w:sz w:val="24"/>
          <w:szCs w:val="24"/>
        </w:rPr>
        <w:t>Summary of RFP</w:t>
      </w:r>
    </w:p>
    <w:p w14:paraId="7B15EB55" w14:textId="77777777" w:rsidR="00550FEB" w:rsidRDefault="00550FEB" w:rsidP="000F537D">
      <w:pPr>
        <w:pStyle w:val="NormalWeb"/>
        <w:spacing w:before="0" w:beforeAutospacing="0" w:after="0" w:afterAutospacing="0" w:line="480" w:lineRule="auto"/>
        <w:ind w:firstLine="720"/>
        <w:contextualSpacing/>
        <w:rPr>
          <w:color w:val="0E101A"/>
        </w:rPr>
      </w:pPr>
      <w:r>
        <w:rPr>
          <w:color w:val="0E101A"/>
        </w:rPr>
        <w:t>The Internet Corporation for Assigned Names and Numbers (ICANN) created an RFP to receive proposals for the development Technical Maintenance system. The systems will be responsible for the monitoring of gTLD registries through video shows. Through that, the registrars will comfortably follow the guidelines laid down in the company's consensus policies. Therefore, the company will also comply with the regulations laid by the Registrar Accreditation Agreement of 2013 and 2017 gTLD Base Registry Agreement. The system installation will lead to the improvement of workflow efficiency in the company and compliance with the industry policies. </w:t>
      </w:r>
    </w:p>
    <w:p w14:paraId="12F2090D" w14:textId="77777777" w:rsidR="00550FEB" w:rsidRDefault="00550FEB" w:rsidP="000F537D">
      <w:pPr>
        <w:pStyle w:val="NormalWeb"/>
        <w:spacing w:before="0" w:beforeAutospacing="0" w:after="0" w:afterAutospacing="0" w:line="480" w:lineRule="auto"/>
        <w:ind w:firstLine="720"/>
        <w:contextualSpacing/>
        <w:rPr>
          <w:color w:val="0E101A"/>
        </w:rPr>
      </w:pPr>
      <w:r>
        <w:rPr>
          <w:color w:val="0E101A"/>
        </w:rPr>
        <w:t>For the Technical Compliance Monitoring system's achievement, there is a need for the system's compatibility with its network. The compatibility will be achieved through the development system in JAVA 11. Additionally, the system should run on CentOS 7 while using MariaDB as the Relational Database Management System. There is also a provision on specifications that the system should be easy to migrate to Amazon RDS if need be. The winning bid must also provide an assurance of formatting the code through a style guide by Google Java, where it must be cloud-ready, object-oriented, and be properly documented. In the development of the code, it must be in Apache Maven and also use Spring Boot as its bootloader. </w:t>
      </w:r>
    </w:p>
    <w:p w14:paraId="6A520439" w14:textId="77777777" w:rsidR="00550FEB" w:rsidRDefault="00550FEB" w:rsidP="00A255DC">
      <w:pPr>
        <w:pStyle w:val="NormalWeb"/>
        <w:spacing w:before="0" w:beforeAutospacing="0" w:after="0" w:afterAutospacing="0" w:line="480" w:lineRule="auto"/>
        <w:contextualSpacing/>
        <w:rPr>
          <w:color w:val="0E101A"/>
        </w:rPr>
      </w:pPr>
      <w:r>
        <w:rPr>
          <w:color w:val="0E101A"/>
        </w:rPr>
        <w:t xml:space="preserve">The system's mode of communication should be encrypted for the safety of data transfer. Similarly, the system must fulfill the requirement of the Cybersecurity </w:t>
      </w:r>
      <w:proofErr w:type="spellStart"/>
      <w:r>
        <w:rPr>
          <w:color w:val="0E101A"/>
        </w:rPr>
        <w:t>Netsparker</w:t>
      </w:r>
      <w:proofErr w:type="spellEnd"/>
      <w:r>
        <w:rPr>
          <w:color w:val="0E101A"/>
        </w:rPr>
        <w:t xml:space="preserve"> and static code analysis. A reputable company should carry the testing on the monitoring system's security </w:t>
      </w:r>
      <w:r>
        <w:rPr>
          <w:color w:val="0E101A"/>
        </w:rPr>
        <w:lastRenderedPageBreak/>
        <w:t>reliability for the legibility, and the results of the tests should be handed to the company. Before rolling out of the system, it must undergo load and stress. </w:t>
      </w:r>
    </w:p>
    <w:p w14:paraId="6778EA01" w14:textId="77777777" w:rsidR="00550FEB" w:rsidRDefault="00550FEB" w:rsidP="00A255DC">
      <w:pPr>
        <w:pStyle w:val="NormalWeb"/>
        <w:spacing w:before="0" w:beforeAutospacing="0" w:after="0" w:afterAutospacing="0" w:line="480" w:lineRule="auto"/>
        <w:contextualSpacing/>
        <w:rPr>
          <w:color w:val="0E101A"/>
        </w:rPr>
      </w:pPr>
      <w:r>
        <w:rPr>
          <w:rStyle w:val="Strong"/>
          <w:color w:val="0E101A"/>
        </w:rPr>
        <w:t>P-SOW Analysis and Significance</w:t>
      </w:r>
    </w:p>
    <w:p w14:paraId="1E803801" w14:textId="0A6BE7B4" w:rsidR="002B13CF" w:rsidRDefault="00550FEB" w:rsidP="00CD6D5A">
      <w:pPr>
        <w:pStyle w:val="NormalWeb"/>
        <w:spacing w:before="0" w:beforeAutospacing="0" w:after="0" w:afterAutospacing="0" w:line="480" w:lineRule="auto"/>
        <w:ind w:firstLine="720"/>
        <w:contextualSpacing/>
        <w:rPr>
          <w:color w:val="0E101A"/>
        </w:rPr>
      </w:pPr>
      <w:r>
        <w:rPr>
          <w:color w:val="0E101A"/>
        </w:rPr>
        <w:t>The company is looking for a service provider who will create a proposal that will assist in the initiation process of generic topnotch domains. Since the company is a non-profit organization, it cannot provide such services. The company, therefore, aims at the proper coordination of global internets and unique identification. The P-SOW aims to provide a comprehensive scope of their functions and processes (Kenton, 2020). In the initial stages of the evaluation process, there will be a description of the application's parts</w:t>
      </w:r>
      <w:r w:rsidR="00BE1159">
        <w:rPr>
          <w:color w:val="0E101A"/>
        </w:rPr>
        <w:t xml:space="preserve">. </w:t>
      </w:r>
      <w:r w:rsidR="002B13CF">
        <w:rPr>
          <w:color w:val="0E101A"/>
        </w:rPr>
        <w:t xml:space="preserve">The services outlined in the RFP is mainly for the monitoring system development as well as the maintenance services. </w:t>
      </w:r>
      <w:r w:rsidR="00861DE8">
        <w:rPr>
          <w:color w:val="0E101A"/>
        </w:rPr>
        <w:t>In the scope of the work, the two areas for the services to be offered are in development of the system software that is in compliance to the ICANN</w:t>
      </w:r>
      <w:r w:rsidR="00873C7D">
        <w:rPr>
          <w:color w:val="0E101A"/>
        </w:rPr>
        <w:t xml:space="preserve"> policy</w:t>
      </w:r>
      <w:r w:rsidR="00861DE8">
        <w:rPr>
          <w:color w:val="0E101A"/>
        </w:rPr>
        <w:t xml:space="preserve"> requirements</w:t>
      </w:r>
      <w:r w:rsidR="00873C7D">
        <w:rPr>
          <w:color w:val="0E101A"/>
        </w:rPr>
        <w:t xml:space="preserve">. </w:t>
      </w:r>
      <w:r w:rsidR="00834933">
        <w:rPr>
          <w:color w:val="0E101A"/>
        </w:rPr>
        <w:t>In the nex</w:t>
      </w:r>
      <w:r w:rsidR="00D70718">
        <w:rPr>
          <w:color w:val="0E101A"/>
        </w:rPr>
        <w:t>t</w:t>
      </w:r>
      <w:r w:rsidR="00834933">
        <w:rPr>
          <w:color w:val="0E101A"/>
        </w:rPr>
        <w:t xml:space="preserve"> section,</w:t>
      </w:r>
      <w:r w:rsidR="00D70718">
        <w:rPr>
          <w:color w:val="0E101A"/>
        </w:rPr>
        <w:t xml:space="preserve"> </w:t>
      </w:r>
      <w:r w:rsidR="00AD3F3B">
        <w:rPr>
          <w:color w:val="0E101A"/>
        </w:rPr>
        <w:t xml:space="preserve">there is a commitment of approximately 120 hours annually for the development which will be consistent for three years. </w:t>
      </w:r>
      <w:r w:rsidR="00B1321C">
        <w:rPr>
          <w:color w:val="0E101A"/>
        </w:rPr>
        <w:t>After every six months throughout the period</w:t>
      </w:r>
      <w:r w:rsidR="009C30E9">
        <w:rPr>
          <w:color w:val="0E101A"/>
        </w:rPr>
        <w:t xml:space="preserve">, </w:t>
      </w:r>
      <w:r w:rsidR="00D8260E">
        <w:rPr>
          <w:color w:val="0E101A"/>
        </w:rPr>
        <w:t xml:space="preserve">there will be a release which comes after the system rolls out the operations. </w:t>
      </w:r>
      <w:proofErr w:type="gramStart"/>
      <w:r w:rsidR="002C7194">
        <w:rPr>
          <w:color w:val="0E101A"/>
        </w:rPr>
        <w:t>However</w:t>
      </w:r>
      <w:proofErr w:type="gramEnd"/>
      <w:r w:rsidR="002C7194">
        <w:rPr>
          <w:color w:val="0E101A"/>
        </w:rPr>
        <w:t xml:space="preserve"> project management and quality assurance hours are nit inclusive in the 120 hours.  </w:t>
      </w:r>
    </w:p>
    <w:p w14:paraId="76204F51" w14:textId="14CB65DF" w:rsidR="00550FEB" w:rsidRDefault="006B2A1E" w:rsidP="00A255DC">
      <w:pPr>
        <w:pStyle w:val="NormalWeb"/>
        <w:spacing w:before="0" w:beforeAutospacing="0" w:after="0" w:afterAutospacing="0" w:line="480" w:lineRule="auto"/>
        <w:contextualSpacing/>
        <w:rPr>
          <w:color w:val="0E101A"/>
        </w:rPr>
      </w:pPr>
      <w:r>
        <w:rPr>
          <w:noProof/>
        </w:rPr>
        <w:drawing>
          <wp:inline distT="0" distB="0" distL="0" distR="0" wp14:anchorId="5A0FE824" wp14:editId="2F498C8A">
            <wp:extent cx="4123690" cy="2538730"/>
            <wp:effectExtent l="0" t="0" r="0" b="0"/>
            <wp:docPr id="1" name="Picture 1" descr="https://lh3.googleusercontent.com/rXS2GUM9G3CZm8fnWbzrWy3DLgYBRQdrDfauorqlieMs06gGEB7l75mBDEYnuQdYmUPeKxKN1QOYrHeWVtWc2LncjKp8JJg2t2A9p8s4McXf48E3VoOsBLTdjD3fFyb8su8D0hzS"/>
            <wp:cNvGraphicFramePr/>
            <a:graphic xmlns:a="http://schemas.openxmlformats.org/drawingml/2006/main">
              <a:graphicData uri="http://schemas.openxmlformats.org/drawingml/2006/picture">
                <pic:pic xmlns:pic="http://schemas.openxmlformats.org/drawingml/2006/picture">
                  <pic:nvPicPr>
                    <pic:cNvPr id="1" name="Picture 1" descr="https://lh3.googleusercontent.com/rXS2GUM9G3CZm8fnWbzrWy3DLgYBRQdrDfauorqlieMs06gGEB7l75mBDEYnuQdYmUPeKxKN1QOYrHeWVtWc2LncjKp8JJg2t2A9p8s4McXf48E3VoOsBLTdjD3fFyb8su8D0hz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23690" cy="2538730"/>
                    </a:xfrm>
                    <a:prstGeom prst="rect">
                      <a:avLst/>
                    </a:prstGeom>
                    <a:noFill/>
                    <a:ln>
                      <a:noFill/>
                    </a:ln>
                  </pic:spPr>
                </pic:pic>
              </a:graphicData>
            </a:graphic>
          </wp:inline>
        </w:drawing>
      </w:r>
    </w:p>
    <w:p w14:paraId="508FD594" w14:textId="77777777" w:rsidR="00550FEB" w:rsidRDefault="00550FEB" w:rsidP="00A255DC">
      <w:pPr>
        <w:pStyle w:val="NormalWeb"/>
        <w:spacing w:before="0" w:beforeAutospacing="0" w:after="0" w:afterAutospacing="0" w:line="480" w:lineRule="auto"/>
        <w:contextualSpacing/>
        <w:rPr>
          <w:color w:val="0E101A"/>
        </w:rPr>
      </w:pPr>
      <w:r>
        <w:rPr>
          <w:color w:val="0E101A"/>
        </w:rPr>
        <w:lastRenderedPageBreak/>
        <w:t>The figure above illustrates the zones that will undergo initial evaluation. </w:t>
      </w:r>
    </w:p>
    <w:p w14:paraId="3901720C" w14:textId="77777777" w:rsidR="00550FEB" w:rsidRDefault="00550FEB" w:rsidP="00A255DC">
      <w:pPr>
        <w:pStyle w:val="NormalWeb"/>
        <w:spacing w:before="0" w:beforeAutospacing="0" w:after="0" w:afterAutospacing="0" w:line="480" w:lineRule="auto"/>
        <w:contextualSpacing/>
        <w:rPr>
          <w:color w:val="0E101A"/>
        </w:rPr>
      </w:pPr>
      <w:r>
        <w:rPr>
          <w:rStyle w:val="Strong"/>
          <w:color w:val="0E101A"/>
        </w:rPr>
        <w:t>Methodology and Selection Criteria Analysis</w:t>
      </w:r>
    </w:p>
    <w:p w14:paraId="078103B0" w14:textId="77777777" w:rsidR="00550FEB" w:rsidRDefault="00550FEB" w:rsidP="000F537D">
      <w:pPr>
        <w:pStyle w:val="NormalWeb"/>
        <w:spacing w:before="0" w:beforeAutospacing="0" w:after="0" w:afterAutospacing="0" w:line="480" w:lineRule="auto"/>
        <w:ind w:firstLine="720"/>
        <w:contextualSpacing/>
        <w:rPr>
          <w:color w:val="0E101A"/>
        </w:rPr>
      </w:pPr>
      <w:r>
        <w:rPr>
          <w:color w:val="0E101A"/>
        </w:rPr>
        <w:t>ICANN's main objective is to offer necessary support by providing a stable, healthy, and robust exceptional identifier in the global internet ecosystem. Therefore, the company's desire to always monitor the contracted enterprises' compliance is in line with its main objectives of operations and existence. The choice of the winning RFP applicant will be based on selection criteria put in place where the major qualification will be in the service provision capability and the level of experience in operation and service provision. In line with the capabilities, the winning enterprise must also show exemplary capabilities in the personnel's qualifications. Therefore, the skills to carry out the task must be showcased in the enterprise's technical personnel. </w:t>
      </w:r>
    </w:p>
    <w:p w14:paraId="7B773BCB" w14:textId="77777777" w:rsidR="00550FEB" w:rsidRDefault="00550FEB" w:rsidP="000F537D">
      <w:pPr>
        <w:pStyle w:val="NormalWeb"/>
        <w:spacing w:before="0" w:beforeAutospacing="0" w:after="0" w:afterAutospacing="0" w:line="480" w:lineRule="auto"/>
        <w:ind w:firstLine="720"/>
        <w:contextualSpacing/>
        <w:rPr>
          <w:color w:val="0E101A"/>
        </w:rPr>
      </w:pPr>
      <w:r>
        <w:rPr>
          <w:color w:val="0E101A"/>
        </w:rPr>
        <w:t>The enterprise must also provide an exemplary approach for the implementation of the project in its proposal. In the implementation proposal, the enterprise must illustrate the system's flexibility and its responsiveness to working with ICANN's specific operations and requirements. The enterprise must also outline the agreement terms and conditions to evaluate whether they are in line with the ICANN's operations procedures. Excellence in the quality of the system's whole monitoring process is also a key factor considered. The project's pricing and overall financial value are other key factors bearing in mind ICANN is a non-profit organization. Therefore, financial value should be favorable. In addition to the requirements, ICANN will also consider the value-added services of the enterprise in the provision of the system services. Finally, the enterprise must illustrate the mitigation procedures in the downtime cases and the reference checks for the same. </w:t>
      </w:r>
    </w:p>
    <w:p w14:paraId="283DD82E" w14:textId="77777777" w:rsidR="00550FEB" w:rsidRDefault="00550FEB" w:rsidP="000F537D">
      <w:pPr>
        <w:pStyle w:val="NormalWeb"/>
        <w:spacing w:before="0" w:beforeAutospacing="0" w:after="0" w:afterAutospacing="0" w:line="480" w:lineRule="auto"/>
        <w:ind w:firstLine="720"/>
        <w:contextualSpacing/>
        <w:rPr>
          <w:color w:val="0E101A"/>
        </w:rPr>
      </w:pPr>
      <w:r>
        <w:rPr>
          <w:color w:val="0E101A"/>
        </w:rPr>
        <w:lastRenderedPageBreak/>
        <w:t>Therefore, the winning proposal must be in a position to showcase the ability to provide efficient services in the operations of the monitoring system since ICANN thrives under great efficiency in its workflow. The evaluation team must portray zero tolerance to any chances of conflict of interest in carrying out all the proposal evaluations. The team should also consider the requests by the supplier in the provision of any information. Since negotiation is a vital element in the proposal consideration and evaluation, the bidding supplier should be given a chance to provide any information they may feel is relevant in the decision-making process (</w:t>
      </w:r>
      <w:proofErr w:type="spellStart"/>
      <w:r>
        <w:rPr>
          <w:color w:val="0E101A"/>
        </w:rPr>
        <w:t>Naughter</w:t>
      </w:r>
      <w:proofErr w:type="spellEnd"/>
      <w:r>
        <w:rPr>
          <w:color w:val="0E101A"/>
        </w:rPr>
        <w:t>, 2018). The evaluation staff should also take time to interact with all the suppliers since it is healthy to capture any relevant information useful in improving the system, which may be absent in the winning supplier. In conclusion, the evaluating team should also consider any collaborative services carried out by both ICANN and the enterprise of the winning proposal. </w:t>
      </w:r>
    </w:p>
    <w:p w14:paraId="679B12E2" w14:textId="77777777" w:rsidR="00550FEB" w:rsidRDefault="00550FEB" w:rsidP="00A255DC">
      <w:pPr>
        <w:pStyle w:val="NormalWeb"/>
        <w:spacing w:before="0" w:beforeAutospacing="0" w:after="0" w:afterAutospacing="0" w:line="480" w:lineRule="auto"/>
        <w:contextualSpacing/>
        <w:rPr>
          <w:color w:val="0E101A"/>
        </w:rPr>
      </w:pPr>
      <w:r>
        <w:rPr>
          <w:rStyle w:val="Strong"/>
          <w:color w:val="0E101A"/>
        </w:rPr>
        <w:t>Contract Type Analysis</w:t>
      </w:r>
    </w:p>
    <w:p w14:paraId="43304E74" w14:textId="77777777" w:rsidR="00550FEB" w:rsidRDefault="00550FEB" w:rsidP="000F537D">
      <w:pPr>
        <w:pStyle w:val="NormalWeb"/>
        <w:spacing w:before="0" w:beforeAutospacing="0" w:after="0" w:afterAutospacing="0" w:line="480" w:lineRule="auto"/>
        <w:ind w:firstLine="720"/>
        <w:contextualSpacing/>
        <w:rPr>
          <w:color w:val="0E101A"/>
        </w:rPr>
      </w:pPr>
      <w:r>
        <w:rPr>
          <w:color w:val="0E101A"/>
        </w:rPr>
        <w:t>ICANN is a no-profit organization; hence the contract is on a fixed price basis. Basically, there is no cost variable, as well as no information regarding profit-making. Nevertheless, the contract mentions price variance, not for any chances of profit-making but to bid enterprises to make a choice of their payments for their services. The company's choice to carry out a contract based on a fixed price is preferable since there is no profit-making and the project also involves internal operations. The project aims to improve software infrastructure, which boosts the company's ability to monitor their compliance with the regulating authorities and enhance efficient working without any profit-making. </w:t>
      </w:r>
    </w:p>
    <w:p w14:paraId="2F3E96A0" w14:textId="77777777" w:rsidR="00550FEB" w:rsidRDefault="00550FEB" w:rsidP="000F537D">
      <w:pPr>
        <w:pStyle w:val="NormalWeb"/>
        <w:spacing w:before="0" w:beforeAutospacing="0" w:after="0" w:afterAutospacing="0" w:line="480" w:lineRule="auto"/>
        <w:ind w:firstLine="720"/>
        <w:contextualSpacing/>
        <w:rPr>
          <w:color w:val="0E101A"/>
        </w:rPr>
      </w:pPr>
      <w:r>
        <w:rPr>
          <w:color w:val="0E101A"/>
        </w:rPr>
        <w:t>RFP applies to complex projects, and the nature of the services request is specific to the project's requirements and the evaluation procedure for the project proposals. In other cases, the process can be in the form of bids, where the task is carried out by the winning bidder (</w:t>
      </w:r>
      <w:proofErr w:type="spellStart"/>
      <w:r>
        <w:rPr>
          <w:color w:val="0E101A"/>
        </w:rPr>
        <w:t>Naughter</w:t>
      </w:r>
      <w:proofErr w:type="spellEnd"/>
      <w:r>
        <w:rPr>
          <w:color w:val="0E101A"/>
        </w:rPr>
        <w:t xml:space="preserve">, </w:t>
      </w:r>
      <w:r>
        <w:rPr>
          <w:color w:val="0E101A"/>
        </w:rPr>
        <w:lastRenderedPageBreak/>
        <w:t>2018). A fixed-price contract involves a project whose price cannot be adjustable but remains the same regardless of the bidding companies and enterprises' level of negotiations. The only chances of changes are in cases of any provisions resulting from economic changes affecting pricing or the contract changes. Therefore, there is the payment of a fixed price in RFP with no worries or doubts about any frequent changes in the prices. In conclusion, therefore, RFP's sole purpose under a fixed-price basis is in projects with only one price where the price is indicated with tabulations of the usage of the costs.</w:t>
      </w:r>
    </w:p>
    <w:p w14:paraId="5C11ABCF" w14:textId="12879629" w:rsidR="0028788F" w:rsidRDefault="0028788F" w:rsidP="00A255DC">
      <w:pPr>
        <w:spacing w:after="0" w:line="480" w:lineRule="auto"/>
        <w:contextualSpacing/>
        <w:rPr>
          <w:rFonts w:ascii="Times New Roman" w:hAnsi="Times New Roman" w:cs="Times New Roman"/>
          <w:sz w:val="24"/>
          <w:szCs w:val="24"/>
        </w:rPr>
      </w:pPr>
    </w:p>
    <w:p w14:paraId="769857A4" w14:textId="4D6729FC" w:rsidR="006061DC" w:rsidRDefault="006061DC" w:rsidP="00A255DC">
      <w:pPr>
        <w:spacing w:after="0" w:line="480" w:lineRule="auto"/>
        <w:contextualSpacing/>
        <w:rPr>
          <w:rFonts w:ascii="Times New Roman" w:hAnsi="Times New Roman" w:cs="Times New Roman"/>
          <w:sz w:val="24"/>
          <w:szCs w:val="24"/>
        </w:rPr>
      </w:pPr>
    </w:p>
    <w:p w14:paraId="09C288AF" w14:textId="070256C7" w:rsidR="006061DC" w:rsidRDefault="006061DC" w:rsidP="00A255DC">
      <w:pPr>
        <w:spacing w:after="0" w:line="480" w:lineRule="auto"/>
        <w:contextualSpacing/>
        <w:rPr>
          <w:rFonts w:ascii="Times New Roman" w:hAnsi="Times New Roman" w:cs="Times New Roman"/>
          <w:sz w:val="24"/>
          <w:szCs w:val="24"/>
        </w:rPr>
      </w:pPr>
    </w:p>
    <w:p w14:paraId="7FC7C26B" w14:textId="2D7A7091" w:rsidR="006061DC" w:rsidRDefault="006061DC" w:rsidP="00A255DC">
      <w:pPr>
        <w:spacing w:after="0" w:line="480" w:lineRule="auto"/>
        <w:contextualSpacing/>
        <w:rPr>
          <w:rFonts w:ascii="Times New Roman" w:hAnsi="Times New Roman" w:cs="Times New Roman"/>
          <w:sz w:val="24"/>
          <w:szCs w:val="24"/>
        </w:rPr>
      </w:pPr>
    </w:p>
    <w:p w14:paraId="4D3D4184" w14:textId="420752CC" w:rsidR="006061DC" w:rsidRDefault="006061DC" w:rsidP="00A255DC">
      <w:pPr>
        <w:spacing w:after="0" w:line="480" w:lineRule="auto"/>
        <w:contextualSpacing/>
        <w:rPr>
          <w:rFonts w:ascii="Times New Roman" w:hAnsi="Times New Roman" w:cs="Times New Roman"/>
          <w:sz w:val="24"/>
          <w:szCs w:val="24"/>
        </w:rPr>
      </w:pPr>
    </w:p>
    <w:p w14:paraId="2E0040E4" w14:textId="5AC62A11" w:rsidR="006061DC" w:rsidRDefault="006061DC" w:rsidP="00A255DC">
      <w:pPr>
        <w:spacing w:after="0" w:line="480" w:lineRule="auto"/>
        <w:contextualSpacing/>
        <w:rPr>
          <w:rFonts w:ascii="Times New Roman" w:hAnsi="Times New Roman" w:cs="Times New Roman"/>
          <w:sz w:val="24"/>
          <w:szCs w:val="24"/>
        </w:rPr>
      </w:pPr>
    </w:p>
    <w:p w14:paraId="7F48B3B3" w14:textId="2322DEF4" w:rsidR="006061DC" w:rsidRDefault="006061DC" w:rsidP="00A255DC">
      <w:pPr>
        <w:spacing w:after="0" w:line="480" w:lineRule="auto"/>
        <w:contextualSpacing/>
        <w:rPr>
          <w:rFonts w:ascii="Times New Roman" w:hAnsi="Times New Roman" w:cs="Times New Roman"/>
          <w:sz w:val="24"/>
          <w:szCs w:val="24"/>
        </w:rPr>
      </w:pPr>
    </w:p>
    <w:p w14:paraId="0BCFF31C" w14:textId="43AE430D" w:rsidR="006061DC" w:rsidRDefault="006061DC" w:rsidP="00A255DC">
      <w:pPr>
        <w:spacing w:after="0" w:line="480" w:lineRule="auto"/>
        <w:contextualSpacing/>
        <w:rPr>
          <w:rFonts w:ascii="Times New Roman" w:hAnsi="Times New Roman" w:cs="Times New Roman"/>
          <w:sz w:val="24"/>
          <w:szCs w:val="24"/>
        </w:rPr>
      </w:pPr>
    </w:p>
    <w:p w14:paraId="0F4F2750" w14:textId="6AA3D684" w:rsidR="006061DC" w:rsidRDefault="006061DC" w:rsidP="00A255DC">
      <w:pPr>
        <w:spacing w:after="0" w:line="480" w:lineRule="auto"/>
        <w:contextualSpacing/>
        <w:rPr>
          <w:rFonts w:ascii="Times New Roman" w:hAnsi="Times New Roman" w:cs="Times New Roman"/>
          <w:sz w:val="24"/>
          <w:szCs w:val="24"/>
        </w:rPr>
      </w:pPr>
    </w:p>
    <w:p w14:paraId="2A697779" w14:textId="2B19178D" w:rsidR="006061DC" w:rsidRDefault="006061DC" w:rsidP="00A255DC">
      <w:pPr>
        <w:spacing w:after="0" w:line="480" w:lineRule="auto"/>
        <w:contextualSpacing/>
        <w:rPr>
          <w:rFonts w:ascii="Times New Roman" w:hAnsi="Times New Roman" w:cs="Times New Roman"/>
          <w:sz w:val="24"/>
          <w:szCs w:val="24"/>
        </w:rPr>
      </w:pPr>
    </w:p>
    <w:p w14:paraId="7CA957B5" w14:textId="0796B2A5" w:rsidR="006061DC" w:rsidRDefault="006061DC" w:rsidP="00A255DC">
      <w:pPr>
        <w:spacing w:after="0" w:line="480" w:lineRule="auto"/>
        <w:contextualSpacing/>
        <w:rPr>
          <w:rFonts w:ascii="Times New Roman" w:hAnsi="Times New Roman" w:cs="Times New Roman"/>
          <w:sz w:val="24"/>
          <w:szCs w:val="24"/>
        </w:rPr>
      </w:pPr>
    </w:p>
    <w:p w14:paraId="3B500908" w14:textId="08774E61" w:rsidR="006061DC" w:rsidRDefault="006061DC" w:rsidP="00A255DC">
      <w:pPr>
        <w:spacing w:after="0" w:line="480" w:lineRule="auto"/>
        <w:contextualSpacing/>
        <w:rPr>
          <w:rFonts w:ascii="Times New Roman" w:hAnsi="Times New Roman" w:cs="Times New Roman"/>
          <w:sz w:val="24"/>
          <w:szCs w:val="24"/>
        </w:rPr>
      </w:pPr>
    </w:p>
    <w:p w14:paraId="640683E0" w14:textId="68FE21C2" w:rsidR="006061DC" w:rsidRDefault="006061DC" w:rsidP="00A255DC">
      <w:pPr>
        <w:spacing w:after="0" w:line="480" w:lineRule="auto"/>
        <w:contextualSpacing/>
        <w:rPr>
          <w:rFonts w:ascii="Times New Roman" w:hAnsi="Times New Roman" w:cs="Times New Roman"/>
          <w:sz w:val="24"/>
          <w:szCs w:val="24"/>
        </w:rPr>
      </w:pPr>
    </w:p>
    <w:p w14:paraId="7861F334" w14:textId="60BC0906" w:rsidR="006061DC" w:rsidRDefault="006061DC" w:rsidP="00A255DC">
      <w:pPr>
        <w:spacing w:after="0" w:line="480" w:lineRule="auto"/>
        <w:contextualSpacing/>
        <w:rPr>
          <w:rFonts w:ascii="Times New Roman" w:hAnsi="Times New Roman" w:cs="Times New Roman"/>
          <w:sz w:val="24"/>
          <w:szCs w:val="24"/>
        </w:rPr>
      </w:pPr>
    </w:p>
    <w:p w14:paraId="28B32431" w14:textId="7B802CAF" w:rsidR="006061DC" w:rsidRDefault="006061DC" w:rsidP="00A255DC">
      <w:pPr>
        <w:spacing w:after="0" w:line="480" w:lineRule="auto"/>
        <w:contextualSpacing/>
        <w:rPr>
          <w:rFonts w:ascii="Times New Roman" w:hAnsi="Times New Roman" w:cs="Times New Roman"/>
          <w:sz w:val="24"/>
          <w:szCs w:val="24"/>
        </w:rPr>
      </w:pPr>
    </w:p>
    <w:p w14:paraId="7F3F4150" w14:textId="38B99120" w:rsidR="006061DC" w:rsidRDefault="006061DC" w:rsidP="00A255DC">
      <w:pPr>
        <w:spacing w:after="0" w:line="480" w:lineRule="auto"/>
        <w:contextualSpacing/>
        <w:rPr>
          <w:rFonts w:ascii="Times New Roman" w:hAnsi="Times New Roman" w:cs="Times New Roman"/>
          <w:sz w:val="24"/>
          <w:szCs w:val="24"/>
        </w:rPr>
      </w:pPr>
    </w:p>
    <w:p w14:paraId="4201443A" w14:textId="45A34979" w:rsidR="006061DC" w:rsidRDefault="006061DC" w:rsidP="00A255DC">
      <w:pPr>
        <w:spacing w:after="0" w:line="480" w:lineRule="auto"/>
        <w:contextualSpacing/>
        <w:rPr>
          <w:rFonts w:ascii="Times New Roman" w:hAnsi="Times New Roman" w:cs="Times New Roman"/>
          <w:sz w:val="24"/>
          <w:szCs w:val="24"/>
        </w:rPr>
      </w:pPr>
    </w:p>
    <w:p w14:paraId="24469015" w14:textId="42124966" w:rsidR="006061DC" w:rsidRDefault="006061DC" w:rsidP="00A255DC">
      <w:pPr>
        <w:spacing w:after="0" w:line="480" w:lineRule="auto"/>
        <w:contextualSpacing/>
        <w:rPr>
          <w:rFonts w:ascii="Times New Roman" w:hAnsi="Times New Roman" w:cs="Times New Roman"/>
          <w:sz w:val="24"/>
          <w:szCs w:val="24"/>
        </w:rPr>
      </w:pPr>
    </w:p>
    <w:p w14:paraId="6BC62E70" w14:textId="77777777" w:rsidR="00A255DC" w:rsidRDefault="00A255DC" w:rsidP="00A255DC">
      <w:pPr>
        <w:spacing w:after="0" w:line="480" w:lineRule="auto"/>
        <w:contextualSpacing/>
        <w:rPr>
          <w:rFonts w:ascii="Times New Roman" w:hAnsi="Times New Roman" w:cs="Times New Roman"/>
          <w:color w:val="000000"/>
          <w:sz w:val="24"/>
          <w:szCs w:val="24"/>
          <w:shd w:val="clear" w:color="auto" w:fill="FFFFFF"/>
        </w:rPr>
      </w:pPr>
    </w:p>
    <w:p w14:paraId="2199DEA5" w14:textId="39456E6E" w:rsidR="00A255DC" w:rsidRPr="00715304" w:rsidRDefault="00715304" w:rsidP="00715304">
      <w:pPr>
        <w:spacing w:after="0" w:line="480" w:lineRule="auto"/>
        <w:contextualSpacing/>
        <w:jc w:val="center"/>
        <w:rPr>
          <w:rFonts w:ascii="Times New Roman" w:hAnsi="Times New Roman" w:cs="Times New Roman"/>
          <w:b/>
          <w:bCs/>
          <w:color w:val="000000"/>
          <w:sz w:val="24"/>
          <w:szCs w:val="24"/>
          <w:shd w:val="clear" w:color="auto" w:fill="FFFFFF"/>
        </w:rPr>
      </w:pPr>
      <w:r w:rsidRPr="00715304">
        <w:rPr>
          <w:rFonts w:ascii="Times New Roman" w:hAnsi="Times New Roman" w:cs="Times New Roman"/>
          <w:b/>
          <w:bCs/>
          <w:color w:val="000000"/>
          <w:sz w:val="24"/>
          <w:szCs w:val="24"/>
          <w:shd w:val="clear" w:color="auto" w:fill="FFFFFF"/>
        </w:rPr>
        <w:t>Bibliography</w:t>
      </w:r>
    </w:p>
    <w:p w14:paraId="64FDFCD2" w14:textId="2CF08137" w:rsidR="008B0A97" w:rsidRPr="00C072A0" w:rsidRDefault="008B0A97" w:rsidP="00715304">
      <w:pPr>
        <w:spacing w:after="0" w:line="480" w:lineRule="auto"/>
        <w:ind w:left="720" w:hanging="720"/>
        <w:contextualSpacing/>
        <w:rPr>
          <w:rFonts w:ascii="Times New Roman" w:hAnsi="Times New Roman" w:cs="Times New Roman"/>
          <w:color w:val="000000"/>
          <w:sz w:val="24"/>
          <w:szCs w:val="24"/>
          <w:shd w:val="clear" w:color="auto" w:fill="FFFFFF"/>
        </w:rPr>
      </w:pPr>
      <w:r w:rsidRPr="00550FEB">
        <w:rPr>
          <w:rFonts w:ascii="Times New Roman" w:hAnsi="Times New Roman" w:cs="Times New Roman"/>
          <w:color w:val="000000"/>
          <w:sz w:val="24"/>
          <w:szCs w:val="24"/>
          <w:shd w:val="clear" w:color="auto" w:fill="FFFFFF"/>
        </w:rPr>
        <w:t>Kenton, W. (2020, July 19). </w:t>
      </w:r>
      <w:r w:rsidRPr="00550FEB">
        <w:rPr>
          <w:rStyle w:val="Emphasis"/>
          <w:rFonts w:ascii="Times New Roman" w:hAnsi="Times New Roman" w:cs="Times New Roman"/>
          <w:color w:val="000000"/>
          <w:sz w:val="24"/>
          <w:szCs w:val="24"/>
          <w:shd w:val="clear" w:color="auto" w:fill="FFFFFF"/>
        </w:rPr>
        <w:t>How requests for proposal (RFP) work</w:t>
      </w:r>
      <w:r w:rsidRPr="00550FEB">
        <w:rPr>
          <w:rFonts w:ascii="Times New Roman" w:hAnsi="Times New Roman" w:cs="Times New Roman"/>
          <w:color w:val="000000"/>
          <w:sz w:val="24"/>
          <w:szCs w:val="24"/>
          <w:shd w:val="clear" w:color="auto" w:fill="FFFFFF"/>
        </w:rPr>
        <w:t>. Investopedia. </w:t>
      </w:r>
      <w:hyperlink r:id="rId7" w:history="1">
        <w:r w:rsidRPr="00C072A0">
          <w:rPr>
            <w:rStyle w:val="Hyperlink"/>
            <w:rFonts w:ascii="Times New Roman" w:hAnsi="Times New Roman" w:cs="Times New Roman"/>
            <w:color w:val="000000"/>
            <w:sz w:val="24"/>
            <w:szCs w:val="24"/>
            <w:u w:val="none"/>
            <w:shd w:val="clear" w:color="auto" w:fill="FFFFFF"/>
          </w:rPr>
          <w:t>https://www.investopedia.com/terms/r/request-for-proposal.asp</w:t>
        </w:r>
      </w:hyperlink>
    </w:p>
    <w:p w14:paraId="5A515E80" w14:textId="30E7BB08" w:rsidR="006E13A8" w:rsidRPr="00C072A0" w:rsidRDefault="00C45A8E" w:rsidP="00715304">
      <w:pPr>
        <w:spacing w:after="0" w:line="480" w:lineRule="auto"/>
        <w:ind w:left="720" w:hanging="720"/>
        <w:contextualSpacing/>
        <w:rPr>
          <w:rFonts w:ascii="Times New Roman" w:hAnsi="Times New Roman" w:cs="Times New Roman"/>
          <w:sz w:val="24"/>
          <w:szCs w:val="24"/>
        </w:rPr>
      </w:pPr>
      <w:proofErr w:type="spellStart"/>
      <w:r w:rsidRPr="00550FEB">
        <w:rPr>
          <w:rFonts w:ascii="Times New Roman" w:hAnsi="Times New Roman" w:cs="Times New Roman"/>
          <w:color w:val="000000"/>
          <w:sz w:val="24"/>
          <w:szCs w:val="24"/>
          <w:shd w:val="clear" w:color="auto" w:fill="FFFFFF"/>
        </w:rPr>
        <w:t>Naughter</w:t>
      </w:r>
      <w:proofErr w:type="spellEnd"/>
      <w:r w:rsidRPr="00550FEB">
        <w:rPr>
          <w:rFonts w:ascii="Times New Roman" w:hAnsi="Times New Roman" w:cs="Times New Roman"/>
          <w:color w:val="000000"/>
          <w:sz w:val="24"/>
          <w:szCs w:val="24"/>
          <w:shd w:val="clear" w:color="auto" w:fill="FFFFFF"/>
        </w:rPr>
        <w:t>, T. (2018, May 31). </w:t>
      </w:r>
      <w:r w:rsidRPr="00550FEB">
        <w:rPr>
          <w:rStyle w:val="Emphasis"/>
          <w:rFonts w:ascii="Times New Roman" w:hAnsi="Times New Roman" w:cs="Times New Roman"/>
          <w:color w:val="000000"/>
          <w:sz w:val="24"/>
          <w:szCs w:val="24"/>
          <w:shd w:val="clear" w:color="auto" w:fill="FFFFFF"/>
        </w:rPr>
        <w:t>5 tips for understanding a request for proposal (RFP) for a contract bid</w:t>
      </w:r>
      <w:r w:rsidRPr="00550FEB">
        <w:rPr>
          <w:rFonts w:ascii="Times New Roman" w:hAnsi="Times New Roman" w:cs="Times New Roman"/>
          <w:color w:val="000000"/>
          <w:sz w:val="24"/>
          <w:szCs w:val="24"/>
          <w:shd w:val="clear" w:color="auto" w:fill="FFFFFF"/>
        </w:rPr>
        <w:t>. Contract Management Software | ContractWorks. </w:t>
      </w:r>
      <w:hyperlink r:id="rId8" w:history="1">
        <w:r w:rsidRPr="00C072A0">
          <w:rPr>
            <w:rStyle w:val="Hyperlink"/>
            <w:rFonts w:ascii="Times New Roman" w:hAnsi="Times New Roman" w:cs="Times New Roman"/>
            <w:color w:val="000000"/>
            <w:sz w:val="24"/>
            <w:szCs w:val="24"/>
            <w:u w:val="none"/>
            <w:shd w:val="clear" w:color="auto" w:fill="FFFFFF"/>
          </w:rPr>
          <w:t>https://www.contractworks.com/blog/5-tips-for-understanding-a-request-for-proposal-rfp-for-a-contract-bid</w:t>
        </w:r>
      </w:hyperlink>
    </w:p>
    <w:p w14:paraId="27864585" w14:textId="77777777" w:rsidR="00C072A0" w:rsidRPr="00C072A0" w:rsidRDefault="00FC01D8" w:rsidP="00C072A0">
      <w:pPr>
        <w:rPr>
          <w:rFonts w:ascii="-webkit-standard" w:eastAsia="Times New Roman" w:hAnsi="-webkit-standard" w:cs="Times New Roman"/>
        </w:rPr>
      </w:pPr>
      <w:hyperlink r:id="rId9" w:history="1">
        <w:r w:rsidR="00C072A0" w:rsidRPr="00C072A0">
          <w:rPr>
            <w:rStyle w:val="Hyperlink"/>
            <w:rFonts w:ascii="Times New Roman" w:eastAsia="Times New Roman" w:hAnsi="Times New Roman" w:cs="Times New Roman"/>
            <w:color w:val="auto"/>
            <w:u w:val="none"/>
          </w:rPr>
          <w:t>https://www.icann.org/en/system/files/files/rfp-technical-compliance-monitoring-10apr19-en.pdf</w:t>
        </w:r>
      </w:hyperlink>
    </w:p>
    <w:p w14:paraId="44FEF47A" w14:textId="77777777" w:rsidR="00715304" w:rsidRPr="00550FEB" w:rsidRDefault="00715304" w:rsidP="00715304">
      <w:pPr>
        <w:spacing w:after="0" w:line="480" w:lineRule="auto"/>
        <w:ind w:left="720" w:hanging="720"/>
        <w:contextualSpacing/>
        <w:rPr>
          <w:rFonts w:ascii="Times New Roman" w:hAnsi="Times New Roman" w:cs="Times New Roman"/>
          <w:sz w:val="24"/>
          <w:szCs w:val="24"/>
        </w:rPr>
      </w:pPr>
    </w:p>
    <w:sectPr w:rsidR="00715304" w:rsidRPr="00550FEB" w:rsidSect="00A255D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7E8882" w14:textId="77777777" w:rsidR="00FC01D8" w:rsidRDefault="00FC01D8" w:rsidP="00A255DC">
      <w:pPr>
        <w:spacing w:after="0" w:line="240" w:lineRule="auto"/>
      </w:pPr>
      <w:r>
        <w:separator/>
      </w:r>
    </w:p>
  </w:endnote>
  <w:endnote w:type="continuationSeparator" w:id="0">
    <w:p w14:paraId="598959BA" w14:textId="77777777" w:rsidR="00FC01D8" w:rsidRDefault="00FC01D8" w:rsidP="00A25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1461B7" w14:textId="77777777" w:rsidR="00FC01D8" w:rsidRDefault="00FC01D8" w:rsidP="00A255DC">
      <w:pPr>
        <w:spacing w:after="0" w:line="240" w:lineRule="auto"/>
      </w:pPr>
      <w:r>
        <w:separator/>
      </w:r>
    </w:p>
  </w:footnote>
  <w:footnote w:type="continuationSeparator" w:id="0">
    <w:p w14:paraId="194540BB" w14:textId="77777777" w:rsidR="00FC01D8" w:rsidRDefault="00FC01D8" w:rsidP="00A25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6ADCB" w14:textId="253EE460" w:rsidR="00EF36FD" w:rsidRPr="00EF36FD" w:rsidRDefault="00EF36FD">
    <w:pPr>
      <w:pStyle w:val="Header"/>
      <w:rPr>
        <w:rFonts w:ascii="Times New Roman" w:hAnsi="Times New Roman" w:cs="Times New Roman"/>
        <w:sz w:val="24"/>
        <w:szCs w:val="24"/>
      </w:rPr>
    </w:pPr>
    <w:r>
      <w:rPr>
        <w:rFonts w:ascii="Times New Roman" w:hAnsi="Times New Roman" w:cs="Times New Roman"/>
        <w:sz w:val="24"/>
        <w:szCs w:val="24"/>
      </w:rPr>
      <w:t>RFP ANALYSIS</w:t>
    </w:r>
    <w:r>
      <w:rPr>
        <w:rFonts w:ascii="Times New Roman" w:hAnsi="Times New Roman" w:cs="Times New Roman"/>
        <w:sz w:val="24"/>
        <w:szCs w:val="24"/>
      </w:rPr>
      <w:tab/>
    </w:r>
    <w:r>
      <w:rPr>
        <w:rFonts w:ascii="Times New Roman" w:hAnsi="Times New Roman" w:cs="Times New Roman"/>
        <w:sz w:val="24"/>
        <w:szCs w:val="24"/>
      </w:rPr>
      <w:tab/>
    </w:r>
    <w:r w:rsidRPr="00EF36FD">
      <w:rPr>
        <w:rFonts w:ascii="Times New Roman" w:hAnsi="Times New Roman" w:cs="Times New Roman"/>
        <w:sz w:val="24"/>
        <w:szCs w:val="24"/>
      </w:rPr>
      <w:fldChar w:fldCharType="begin"/>
    </w:r>
    <w:r w:rsidRPr="00EF36FD">
      <w:rPr>
        <w:rFonts w:ascii="Times New Roman" w:hAnsi="Times New Roman" w:cs="Times New Roman"/>
        <w:sz w:val="24"/>
        <w:szCs w:val="24"/>
      </w:rPr>
      <w:instrText xml:space="preserve"> PAGE   \* MERGEFORMAT </w:instrText>
    </w:r>
    <w:r w:rsidRPr="00EF36FD">
      <w:rPr>
        <w:rFonts w:ascii="Times New Roman" w:hAnsi="Times New Roman" w:cs="Times New Roman"/>
        <w:sz w:val="24"/>
        <w:szCs w:val="24"/>
      </w:rPr>
      <w:fldChar w:fldCharType="separate"/>
    </w:r>
    <w:r w:rsidRPr="00EF36FD">
      <w:rPr>
        <w:rFonts w:ascii="Times New Roman" w:hAnsi="Times New Roman" w:cs="Times New Roman"/>
        <w:noProof/>
        <w:sz w:val="24"/>
        <w:szCs w:val="24"/>
      </w:rPr>
      <w:t>1</w:t>
    </w:r>
    <w:r w:rsidRPr="00EF36F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DF744" w14:textId="16681AB2" w:rsidR="00A255DC" w:rsidRPr="00A255DC" w:rsidRDefault="00A255DC">
    <w:pPr>
      <w:pStyle w:val="Header"/>
      <w:rPr>
        <w:rFonts w:ascii="Times New Roman" w:hAnsi="Times New Roman" w:cs="Times New Roman"/>
        <w:sz w:val="24"/>
        <w:szCs w:val="24"/>
      </w:rPr>
    </w:pPr>
    <w:r>
      <w:rPr>
        <w:rFonts w:ascii="Times New Roman" w:hAnsi="Times New Roman" w:cs="Times New Roman"/>
        <w:sz w:val="24"/>
        <w:szCs w:val="24"/>
      </w:rPr>
      <w:t>Running head: RFP ANALYSIS</w:t>
    </w:r>
    <w:r>
      <w:rPr>
        <w:rFonts w:ascii="Times New Roman" w:hAnsi="Times New Roman" w:cs="Times New Roman"/>
        <w:sz w:val="24"/>
        <w:szCs w:val="24"/>
      </w:rPr>
      <w:tab/>
    </w:r>
    <w:r>
      <w:rPr>
        <w:rFonts w:ascii="Times New Roman" w:hAnsi="Times New Roman" w:cs="Times New Roman"/>
        <w:sz w:val="24"/>
        <w:szCs w:val="24"/>
      </w:rPr>
      <w:tab/>
    </w:r>
    <w:r w:rsidRPr="00A255DC">
      <w:rPr>
        <w:rFonts w:ascii="Times New Roman" w:hAnsi="Times New Roman" w:cs="Times New Roman"/>
        <w:sz w:val="24"/>
        <w:szCs w:val="24"/>
      </w:rPr>
      <w:fldChar w:fldCharType="begin"/>
    </w:r>
    <w:r w:rsidRPr="00A255DC">
      <w:rPr>
        <w:rFonts w:ascii="Times New Roman" w:hAnsi="Times New Roman" w:cs="Times New Roman"/>
        <w:sz w:val="24"/>
        <w:szCs w:val="24"/>
      </w:rPr>
      <w:instrText xml:space="preserve"> PAGE   \* MERGEFORMAT </w:instrText>
    </w:r>
    <w:r w:rsidRPr="00A255DC">
      <w:rPr>
        <w:rFonts w:ascii="Times New Roman" w:hAnsi="Times New Roman" w:cs="Times New Roman"/>
        <w:sz w:val="24"/>
        <w:szCs w:val="24"/>
      </w:rPr>
      <w:fldChar w:fldCharType="separate"/>
    </w:r>
    <w:r w:rsidRPr="00A255DC">
      <w:rPr>
        <w:rFonts w:ascii="Times New Roman" w:hAnsi="Times New Roman" w:cs="Times New Roman"/>
        <w:noProof/>
        <w:sz w:val="24"/>
        <w:szCs w:val="24"/>
      </w:rPr>
      <w:t>1</w:t>
    </w:r>
    <w:r w:rsidRPr="00A255D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A6"/>
    <w:rsid w:val="00003BA1"/>
    <w:rsid w:val="00025D42"/>
    <w:rsid w:val="00032A47"/>
    <w:rsid w:val="00035AF3"/>
    <w:rsid w:val="00043442"/>
    <w:rsid w:val="000B7682"/>
    <w:rsid w:val="000C1A14"/>
    <w:rsid w:val="000C6B47"/>
    <w:rsid w:val="000F44E2"/>
    <w:rsid w:val="000F537D"/>
    <w:rsid w:val="000F73CE"/>
    <w:rsid w:val="0010106A"/>
    <w:rsid w:val="0012127F"/>
    <w:rsid w:val="001272D9"/>
    <w:rsid w:val="0014648E"/>
    <w:rsid w:val="001517F1"/>
    <w:rsid w:val="001718F6"/>
    <w:rsid w:val="001732AC"/>
    <w:rsid w:val="00182A5A"/>
    <w:rsid w:val="001D58FB"/>
    <w:rsid w:val="001E00FF"/>
    <w:rsid w:val="0023171B"/>
    <w:rsid w:val="002368AB"/>
    <w:rsid w:val="0024001A"/>
    <w:rsid w:val="0025092F"/>
    <w:rsid w:val="002722C8"/>
    <w:rsid w:val="0028788F"/>
    <w:rsid w:val="00297DBA"/>
    <w:rsid w:val="002A6F43"/>
    <w:rsid w:val="002B13CF"/>
    <w:rsid w:val="002C4E8C"/>
    <w:rsid w:val="002C6488"/>
    <w:rsid w:val="002C7194"/>
    <w:rsid w:val="002D103C"/>
    <w:rsid w:val="002E070E"/>
    <w:rsid w:val="002E2306"/>
    <w:rsid w:val="002E5697"/>
    <w:rsid w:val="002E6A5D"/>
    <w:rsid w:val="002F22AC"/>
    <w:rsid w:val="003227B3"/>
    <w:rsid w:val="00344967"/>
    <w:rsid w:val="00365A01"/>
    <w:rsid w:val="0037117E"/>
    <w:rsid w:val="00374112"/>
    <w:rsid w:val="00390984"/>
    <w:rsid w:val="003A0EA8"/>
    <w:rsid w:val="003B722E"/>
    <w:rsid w:val="003C44C3"/>
    <w:rsid w:val="003C673B"/>
    <w:rsid w:val="003D06F4"/>
    <w:rsid w:val="003E2354"/>
    <w:rsid w:val="003F0390"/>
    <w:rsid w:val="003F4FC3"/>
    <w:rsid w:val="004059F8"/>
    <w:rsid w:val="0041486D"/>
    <w:rsid w:val="00433F6F"/>
    <w:rsid w:val="00441F13"/>
    <w:rsid w:val="00456A30"/>
    <w:rsid w:val="0048134C"/>
    <w:rsid w:val="004A65ED"/>
    <w:rsid w:val="004B74CB"/>
    <w:rsid w:val="004E6394"/>
    <w:rsid w:val="004F285A"/>
    <w:rsid w:val="004F32C6"/>
    <w:rsid w:val="005029A6"/>
    <w:rsid w:val="00523665"/>
    <w:rsid w:val="005256BC"/>
    <w:rsid w:val="00525921"/>
    <w:rsid w:val="00550FEB"/>
    <w:rsid w:val="00581437"/>
    <w:rsid w:val="0058238D"/>
    <w:rsid w:val="00584348"/>
    <w:rsid w:val="0058705E"/>
    <w:rsid w:val="005B0DEC"/>
    <w:rsid w:val="005B1643"/>
    <w:rsid w:val="005E34B5"/>
    <w:rsid w:val="005E4762"/>
    <w:rsid w:val="005F44A8"/>
    <w:rsid w:val="0060330D"/>
    <w:rsid w:val="00604ECA"/>
    <w:rsid w:val="006061DC"/>
    <w:rsid w:val="00607FE8"/>
    <w:rsid w:val="0065480F"/>
    <w:rsid w:val="00657586"/>
    <w:rsid w:val="00665876"/>
    <w:rsid w:val="006714D0"/>
    <w:rsid w:val="00685D95"/>
    <w:rsid w:val="00687597"/>
    <w:rsid w:val="006A5708"/>
    <w:rsid w:val="006B2A1E"/>
    <w:rsid w:val="006D33AB"/>
    <w:rsid w:val="006E13A8"/>
    <w:rsid w:val="006F1933"/>
    <w:rsid w:val="0071050B"/>
    <w:rsid w:val="00715304"/>
    <w:rsid w:val="0074540F"/>
    <w:rsid w:val="00755FCD"/>
    <w:rsid w:val="007615B5"/>
    <w:rsid w:val="00767EA4"/>
    <w:rsid w:val="00781406"/>
    <w:rsid w:val="007825DF"/>
    <w:rsid w:val="007912FC"/>
    <w:rsid w:val="00793473"/>
    <w:rsid w:val="00795CD6"/>
    <w:rsid w:val="007B1289"/>
    <w:rsid w:val="007B19DE"/>
    <w:rsid w:val="007B2A6C"/>
    <w:rsid w:val="007B53EA"/>
    <w:rsid w:val="007B63E0"/>
    <w:rsid w:val="007D11EF"/>
    <w:rsid w:val="007F656B"/>
    <w:rsid w:val="00834933"/>
    <w:rsid w:val="0084459D"/>
    <w:rsid w:val="00861DE8"/>
    <w:rsid w:val="0087225E"/>
    <w:rsid w:val="00873C7D"/>
    <w:rsid w:val="00897544"/>
    <w:rsid w:val="008B0A97"/>
    <w:rsid w:val="008E6679"/>
    <w:rsid w:val="008F7C3F"/>
    <w:rsid w:val="009010F2"/>
    <w:rsid w:val="009149EB"/>
    <w:rsid w:val="00916ED6"/>
    <w:rsid w:val="0092253C"/>
    <w:rsid w:val="0093154D"/>
    <w:rsid w:val="009522EE"/>
    <w:rsid w:val="00955F62"/>
    <w:rsid w:val="009567A2"/>
    <w:rsid w:val="00960F10"/>
    <w:rsid w:val="0096150E"/>
    <w:rsid w:val="00963AF4"/>
    <w:rsid w:val="00964309"/>
    <w:rsid w:val="009755F4"/>
    <w:rsid w:val="009824CF"/>
    <w:rsid w:val="0099246C"/>
    <w:rsid w:val="009C30E9"/>
    <w:rsid w:val="009F037F"/>
    <w:rsid w:val="009F24AE"/>
    <w:rsid w:val="009F7F0C"/>
    <w:rsid w:val="00A0016A"/>
    <w:rsid w:val="00A00ED5"/>
    <w:rsid w:val="00A07C90"/>
    <w:rsid w:val="00A20107"/>
    <w:rsid w:val="00A253D8"/>
    <w:rsid w:val="00A255DC"/>
    <w:rsid w:val="00A35C0E"/>
    <w:rsid w:val="00A5433C"/>
    <w:rsid w:val="00A71C22"/>
    <w:rsid w:val="00A81E1B"/>
    <w:rsid w:val="00A84E11"/>
    <w:rsid w:val="00AA0457"/>
    <w:rsid w:val="00AD29AE"/>
    <w:rsid w:val="00AD3F3B"/>
    <w:rsid w:val="00AF12B6"/>
    <w:rsid w:val="00AF5177"/>
    <w:rsid w:val="00B05DBD"/>
    <w:rsid w:val="00B07D2D"/>
    <w:rsid w:val="00B1196A"/>
    <w:rsid w:val="00B1321C"/>
    <w:rsid w:val="00B146D0"/>
    <w:rsid w:val="00B31C4D"/>
    <w:rsid w:val="00B371F5"/>
    <w:rsid w:val="00B40532"/>
    <w:rsid w:val="00B5365D"/>
    <w:rsid w:val="00B56019"/>
    <w:rsid w:val="00B6255C"/>
    <w:rsid w:val="00B64ADD"/>
    <w:rsid w:val="00BA16BF"/>
    <w:rsid w:val="00BA63C9"/>
    <w:rsid w:val="00BD40EC"/>
    <w:rsid w:val="00BE1159"/>
    <w:rsid w:val="00BE1674"/>
    <w:rsid w:val="00BE3CEE"/>
    <w:rsid w:val="00C03DAF"/>
    <w:rsid w:val="00C072A0"/>
    <w:rsid w:val="00C314F0"/>
    <w:rsid w:val="00C33D1E"/>
    <w:rsid w:val="00C35F01"/>
    <w:rsid w:val="00C45A8E"/>
    <w:rsid w:val="00C538CF"/>
    <w:rsid w:val="00C76E3C"/>
    <w:rsid w:val="00C86C9F"/>
    <w:rsid w:val="00C919CA"/>
    <w:rsid w:val="00CB20DC"/>
    <w:rsid w:val="00CD6D5A"/>
    <w:rsid w:val="00CE5B4A"/>
    <w:rsid w:val="00CE7558"/>
    <w:rsid w:val="00CF290F"/>
    <w:rsid w:val="00D05751"/>
    <w:rsid w:val="00D17A3D"/>
    <w:rsid w:val="00D31ADE"/>
    <w:rsid w:val="00D35E96"/>
    <w:rsid w:val="00D44DF0"/>
    <w:rsid w:val="00D47B91"/>
    <w:rsid w:val="00D70718"/>
    <w:rsid w:val="00D8260E"/>
    <w:rsid w:val="00D9247F"/>
    <w:rsid w:val="00DC657A"/>
    <w:rsid w:val="00DC72A8"/>
    <w:rsid w:val="00DD7B2D"/>
    <w:rsid w:val="00DE224D"/>
    <w:rsid w:val="00E16CFA"/>
    <w:rsid w:val="00E74BD8"/>
    <w:rsid w:val="00E95D00"/>
    <w:rsid w:val="00EA10CE"/>
    <w:rsid w:val="00EB270D"/>
    <w:rsid w:val="00EC5D30"/>
    <w:rsid w:val="00ED2121"/>
    <w:rsid w:val="00EE7960"/>
    <w:rsid w:val="00EF36FD"/>
    <w:rsid w:val="00F15BCA"/>
    <w:rsid w:val="00F352A6"/>
    <w:rsid w:val="00F84CF4"/>
    <w:rsid w:val="00F935E1"/>
    <w:rsid w:val="00FA5566"/>
    <w:rsid w:val="00FC01D8"/>
    <w:rsid w:val="00FC7AE8"/>
    <w:rsid w:val="00FD5A6C"/>
    <w:rsid w:val="00FF3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B25A2"/>
  <w15:chartTrackingRefBased/>
  <w15:docId w15:val="{CA92659D-01FD-4FAA-8B36-A72DE582C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45A8E"/>
    <w:rPr>
      <w:i/>
      <w:iCs/>
    </w:rPr>
  </w:style>
  <w:style w:type="character" w:styleId="Hyperlink">
    <w:name w:val="Hyperlink"/>
    <w:basedOn w:val="DefaultParagraphFont"/>
    <w:uiPriority w:val="99"/>
    <w:semiHidden/>
    <w:unhideWhenUsed/>
    <w:rsid w:val="00C45A8E"/>
    <w:rPr>
      <w:color w:val="0000FF"/>
      <w:u w:val="single"/>
    </w:rPr>
  </w:style>
  <w:style w:type="paragraph" w:styleId="NormalWeb">
    <w:name w:val="Normal (Web)"/>
    <w:basedOn w:val="Normal"/>
    <w:uiPriority w:val="99"/>
    <w:semiHidden/>
    <w:unhideWhenUsed/>
    <w:rsid w:val="00550F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0FEB"/>
    <w:rPr>
      <w:b/>
      <w:bCs/>
    </w:rPr>
  </w:style>
  <w:style w:type="paragraph" w:styleId="Header">
    <w:name w:val="header"/>
    <w:basedOn w:val="Normal"/>
    <w:link w:val="HeaderChar"/>
    <w:uiPriority w:val="99"/>
    <w:unhideWhenUsed/>
    <w:rsid w:val="00A25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5DC"/>
  </w:style>
  <w:style w:type="paragraph" w:styleId="Footer">
    <w:name w:val="footer"/>
    <w:basedOn w:val="Normal"/>
    <w:link w:val="FooterChar"/>
    <w:uiPriority w:val="99"/>
    <w:unhideWhenUsed/>
    <w:rsid w:val="00A25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5DC"/>
  </w:style>
  <w:style w:type="paragraph" w:customStyle="1" w:styleId="Default">
    <w:name w:val="Default"/>
    <w:rsid w:val="002B13C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843839">
      <w:bodyDiv w:val="1"/>
      <w:marLeft w:val="0"/>
      <w:marRight w:val="0"/>
      <w:marTop w:val="0"/>
      <w:marBottom w:val="0"/>
      <w:divBdr>
        <w:top w:val="none" w:sz="0" w:space="0" w:color="auto"/>
        <w:left w:val="none" w:sz="0" w:space="0" w:color="auto"/>
        <w:bottom w:val="none" w:sz="0" w:space="0" w:color="auto"/>
        <w:right w:val="none" w:sz="0" w:space="0" w:color="auto"/>
      </w:divBdr>
    </w:div>
    <w:div w:id="410735062">
      <w:bodyDiv w:val="1"/>
      <w:marLeft w:val="0"/>
      <w:marRight w:val="0"/>
      <w:marTop w:val="0"/>
      <w:marBottom w:val="0"/>
      <w:divBdr>
        <w:top w:val="none" w:sz="0" w:space="0" w:color="auto"/>
        <w:left w:val="none" w:sz="0" w:space="0" w:color="auto"/>
        <w:bottom w:val="none" w:sz="0" w:space="0" w:color="auto"/>
        <w:right w:val="none" w:sz="0" w:space="0" w:color="auto"/>
      </w:divBdr>
    </w:div>
    <w:div w:id="794716987">
      <w:bodyDiv w:val="1"/>
      <w:marLeft w:val="0"/>
      <w:marRight w:val="0"/>
      <w:marTop w:val="0"/>
      <w:marBottom w:val="0"/>
      <w:divBdr>
        <w:top w:val="none" w:sz="0" w:space="0" w:color="auto"/>
        <w:left w:val="none" w:sz="0" w:space="0" w:color="auto"/>
        <w:bottom w:val="none" w:sz="0" w:space="0" w:color="auto"/>
        <w:right w:val="none" w:sz="0" w:space="0" w:color="auto"/>
      </w:divBdr>
    </w:div>
    <w:div w:id="1545604484">
      <w:bodyDiv w:val="1"/>
      <w:marLeft w:val="0"/>
      <w:marRight w:val="0"/>
      <w:marTop w:val="0"/>
      <w:marBottom w:val="0"/>
      <w:divBdr>
        <w:top w:val="none" w:sz="0" w:space="0" w:color="auto"/>
        <w:left w:val="none" w:sz="0" w:space="0" w:color="auto"/>
        <w:bottom w:val="none" w:sz="0" w:space="0" w:color="auto"/>
        <w:right w:val="none" w:sz="0" w:space="0" w:color="auto"/>
      </w:divBdr>
    </w:div>
    <w:div w:id="1609850986">
      <w:bodyDiv w:val="1"/>
      <w:marLeft w:val="0"/>
      <w:marRight w:val="0"/>
      <w:marTop w:val="0"/>
      <w:marBottom w:val="0"/>
      <w:divBdr>
        <w:top w:val="none" w:sz="0" w:space="0" w:color="auto"/>
        <w:left w:val="none" w:sz="0" w:space="0" w:color="auto"/>
        <w:bottom w:val="none" w:sz="0" w:space="0" w:color="auto"/>
        <w:right w:val="none" w:sz="0" w:space="0" w:color="auto"/>
      </w:divBdr>
    </w:div>
    <w:div w:id="190135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tractworks.com/blog/5-tips-for-understanding-a-request-for-proposal-rfp-for-a-contract-bi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nvestopedia.com/terms/r/request-for-proposal.as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icann.org/en/system/files/files/rfp-technical-compliance-monitoring-10apr19-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476</TotalTime>
  <Pages>7</Pages>
  <Words>1264</Words>
  <Characters>7211</Characters>
  <Application>Microsoft Office Word</Application>
  <DocSecurity>0</DocSecurity>
  <Lines>60</Lines>
  <Paragraphs>16</Paragraphs>
  <ScaleCrop>false</ScaleCrop>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Bell, Dionte</cp:lastModifiedBy>
  <cp:revision>474</cp:revision>
  <dcterms:created xsi:type="dcterms:W3CDTF">2020-09-26T17:41:00Z</dcterms:created>
  <dcterms:modified xsi:type="dcterms:W3CDTF">2020-09-28T00:54:00Z</dcterms:modified>
</cp:coreProperties>
</file>